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80"/>
          <w:tab w:val="left" w:pos="5291"/>
        </w:tabs>
        <w:jc w:val="center"/>
        <w:rPr>
          <w:szCs w:val="28"/>
        </w:rPr>
      </w:pPr>
      <w:r>
        <w:drawing>
          <wp:inline distT="0" distB="0" distL="0" distR="0">
            <wp:extent cx="762000" cy="8858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color w:val="2F5496" w:themeColor="accent1" w:themeShade="BF"/>
          <w:szCs w:val="28"/>
        </w:rPr>
      </w:pPr>
    </w:p>
    <w:p>
      <w:pPr>
        <w:jc w:val="center"/>
        <w:rPr>
          <w:b/>
          <w:szCs w:val="28"/>
        </w:rPr>
      </w:pPr>
      <w:r>
        <w:rPr>
          <w:b/>
          <w:szCs w:val="28"/>
        </w:rPr>
        <w:t>ГОСУДАРСТВЕННОЕ АВТОНОМНОЕ УЧРЕЖДЕНИЕ</w:t>
      </w:r>
    </w:p>
    <w:p>
      <w:pPr>
        <w:jc w:val="center"/>
        <w:rPr>
          <w:b/>
          <w:szCs w:val="28"/>
        </w:rPr>
      </w:pPr>
      <w:r>
        <w:rPr>
          <w:b/>
          <w:szCs w:val="28"/>
        </w:rPr>
        <w:t>ХЕРСОНСКОЙ ОБЛАСТИ</w:t>
      </w:r>
    </w:p>
    <w:p>
      <w:pPr>
        <w:jc w:val="center"/>
        <w:rPr>
          <w:szCs w:val="28"/>
        </w:rPr>
      </w:pPr>
      <w:r>
        <w:rPr>
          <w:b/>
          <w:szCs w:val="28"/>
        </w:rPr>
        <w:t>«КОРПОРАЦИЯ РАЗВИТИЯ ХЕРСОНСКОЙ ОБЛАСТИ»</w:t>
      </w:r>
    </w:p>
    <w:p>
      <w:pPr>
        <w:jc w:val="center"/>
        <w:rPr>
          <w:sz w:val="20"/>
        </w:rPr>
      </w:pPr>
      <w:r>
        <w:rPr>
          <w:sz w:val="20"/>
        </w:rPr>
        <w:t>Российская Федерация, Херсонская область, М.О. Генический, с. Геническая Горка, ул. Набережная, д. 41</w:t>
      </w:r>
    </w:p>
    <w:p>
      <w:pPr>
        <w:jc w:val="center"/>
        <w:rPr>
          <w:sz w:val="20"/>
        </w:rPr>
      </w:pPr>
      <w:r>
        <w:rPr>
          <w:rFonts w:eastAsia="Calibri"/>
          <w:sz w:val="20"/>
          <w:lang w:val="en-US"/>
        </w:rPr>
        <w:t>E</w:t>
      </w:r>
      <w:r>
        <w:rPr>
          <w:rFonts w:eastAsia="Calibri"/>
          <w:sz w:val="20"/>
        </w:rPr>
        <w:t>-</w:t>
      </w:r>
      <w:r>
        <w:rPr>
          <w:rFonts w:eastAsia="Calibri"/>
          <w:sz w:val="20"/>
          <w:lang w:val="en-US"/>
        </w:rPr>
        <w:t>mail</w:t>
      </w:r>
      <w:r>
        <w:rPr>
          <w:rFonts w:eastAsia="Calibri"/>
          <w:sz w:val="20"/>
        </w:rPr>
        <w:t xml:space="preserve">: </w:t>
      </w:r>
      <w:r>
        <w:rPr>
          <w:sz w:val="20"/>
          <w:lang w:val="en-US"/>
        </w:rPr>
        <w:t>gaykrxo</w:t>
      </w:r>
      <w:r>
        <w:rPr>
          <w:sz w:val="20"/>
        </w:rPr>
        <w:t>@</w:t>
      </w:r>
      <w:r>
        <w:rPr>
          <w:sz w:val="20"/>
          <w:lang w:val="en-US"/>
        </w:rPr>
        <w:t>khogov</w:t>
      </w:r>
      <w:r>
        <w:rPr>
          <w:sz w:val="20"/>
        </w:rPr>
        <w:t>.</w:t>
      </w:r>
      <w:r>
        <w:rPr>
          <w:sz w:val="20"/>
          <w:lang w:val="en-US"/>
        </w:rPr>
        <w:t>ru</w:t>
      </w:r>
      <w:r>
        <w:rPr>
          <w:sz w:val="20"/>
        </w:rPr>
        <w:t xml:space="preserve"> ИНН/КПП 9500006864</w:t>
      </w:r>
      <w:r>
        <w:rPr>
          <w:rFonts w:eastAsia="Calibri"/>
          <w:sz w:val="20"/>
        </w:rPr>
        <w:t>/</w:t>
      </w:r>
      <w:r>
        <w:rPr>
          <w:sz w:val="20"/>
        </w:rPr>
        <w:t>950001001 ОГРН 1229500006878</w:t>
      </w:r>
    </w:p>
    <w:p>
      <w:pPr>
        <w:tabs>
          <w:tab w:val="left" w:pos="1580"/>
          <w:tab w:val="left" w:pos="5291"/>
        </w:tabs>
        <w:rPr>
          <w:szCs w:val="28"/>
        </w:rPr>
      </w:pP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t>«___» 06.2026 г. № _____________</w:t>
      </w:r>
    </w:p>
    <w:p>
      <w:pPr>
        <w:jc w:val="left"/>
        <w:rPr>
          <w:sz w:val="28"/>
          <w:szCs w:val="28"/>
        </w:rPr>
      </w:pPr>
    </w:p>
    <w:tbl>
      <w:tblPr>
        <w:tblStyle w:val="16"/>
        <w:tblW w:w="9559" w:type="dxa"/>
        <w:tblInd w:w="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4"/>
        <w:gridCol w:w="4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/>
              <w:ind w:left="0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/>
              <w:ind w:left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ИО министра имущественных</w:t>
            </w:r>
          </w:p>
          <w:p>
            <w:pPr>
              <w:widowControl/>
              <w:suppressAutoHyphens/>
              <w:spacing w:before="0" w:after="0"/>
              <w:ind w:left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и земельных отношений</w:t>
            </w:r>
          </w:p>
          <w:p>
            <w:pPr>
              <w:widowControl/>
              <w:suppressAutoHyphens/>
              <w:spacing w:before="0" w:after="0"/>
              <w:ind w:left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Херсонской области</w:t>
            </w:r>
          </w:p>
          <w:p>
            <w:pPr>
              <w:widowControl/>
              <w:suppressAutoHyphens/>
              <w:spacing w:before="0" w:after="0"/>
              <w:ind w:left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Давидовой М.В.</w:t>
            </w:r>
          </w:p>
        </w:tc>
      </w:tr>
    </w:tbl>
    <w:p>
      <w:pPr>
        <w:rPr>
          <w:sz w:val="28"/>
          <w:szCs w:val="28"/>
        </w:rPr>
      </w:pPr>
    </w:p>
    <w:p>
      <w:pPr>
        <w:spacing w:before="0"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Уважаемая Мария Вячеславовна!</w:t>
      </w:r>
    </w:p>
    <w:p>
      <w:pPr>
        <w:spacing w:before="0" w:after="0" w:line="240" w:lineRule="auto"/>
        <w:ind w:left="0"/>
        <w:rPr>
          <w:sz w:val="28"/>
          <w:szCs w:val="28"/>
        </w:rPr>
      </w:pPr>
    </w:p>
    <w:p>
      <w:pPr>
        <w:spacing w:before="0" w:after="0" w:line="240" w:lineRule="auto"/>
        <w:ind w:left="0" w:firstLine="709"/>
      </w:pPr>
      <w:r>
        <w:rPr>
          <w:sz w:val="28"/>
          <w:szCs w:val="28"/>
        </w:rPr>
        <w:t xml:space="preserve">В целях обеспечения прозрачности и свободного доступа к информации об инновационной и экономической деятельности, на основании распоряжения Губернатора Херсонской области № 222-р от 11.06.2025г., а также в рамках </w:t>
      </w:r>
    </w:p>
    <w:p>
      <w:pPr>
        <w:spacing w:before="0" w:after="0" w:line="240" w:lineRule="auto"/>
        <w:ind w:left="0" w:firstLine="0"/>
      </w:pPr>
      <w:r>
        <w:rPr>
          <w:sz w:val="28"/>
          <w:szCs w:val="28"/>
        </w:rPr>
        <w:t>реализации норм постановления Правительства Херсонской области № 32-пп</w:t>
      </w:r>
    </w:p>
    <w:p>
      <w:pPr>
        <w:spacing w:before="0" w:after="0" w:line="240" w:lineRule="auto"/>
        <w:ind w:left="0" w:firstLine="0"/>
      </w:pPr>
      <w:r>
        <w:rPr>
          <w:sz w:val="28"/>
          <w:szCs w:val="28"/>
        </w:rPr>
        <w:t>от 17.03.2025 г. предлагаем к публикации объекты имущественного комплекса (Завод по производству мукомольных и макаронных изделий), находящиеся в собственности Херсонской области</w:t>
      </w:r>
      <w:r>
        <w:rPr>
          <w:position w:val="0"/>
          <w:sz w:val="28"/>
          <w:szCs w:val="28"/>
          <w:vertAlign w:val="baseline"/>
        </w:rPr>
        <w:t>:</w:t>
      </w:r>
    </w:p>
    <w:p>
      <w:pPr>
        <w:spacing w:before="0" w:after="0" w:line="240" w:lineRule="auto"/>
        <w:ind w:left="0" w:firstLine="0"/>
        <w:rPr>
          <w:sz w:val="28"/>
          <w:szCs w:val="28"/>
        </w:rPr>
      </w:pPr>
    </w:p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2745"/>
        <w:gridCol w:w="1570"/>
        <w:gridCol w:w="1503"/>
        <w:gridCol w:w="2092"/>
        <w:gridCol w:w="20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</w:pPr>
            <w:r>
              <w:rPr>
                <w:b/>
                <w:bCs/>
                <w:sz w:val="26"/>
                <w:szCs w:val="26"/>
              </w:rPr>
              <w:t>№ п</w:t>
            </w:r>
            <w:r>
              <w:rPr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b/>
                <w:bCs/>
                <w:sz w:val="26"/>
                <w:szCs w:val="26"/>
              </w:rPr>
              <w:t>п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</w:pPr>
            <w:r>
              <w:rPr>
                <w:b/>
                <w:bCs/>
                <w:sz w:val="26"/>
                <w:szCs w:val="26"/>
              </w:rPr>
              <w:t>Адрес</w:t>
            </w:r>
            <w:r>
              <w:rPr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b/>
                <w:bCs/>
                <w:sz w:val="26"/>
                <w:szCs w:val="26"/>
              </w:rPr>
              <w:t>Адресный ориентир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</w:pPr>
            <w:r>
              <w:rPr>
                <w:b/>
                <w:bCs/>
                <w:sz w:val="26"/>
                <w:szCs w:val="26"/>
              </w:rPr>
              <w:t>Площадь (кв.м.)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</w:pPr>
            <w:r>
              <w:rPr>
                <w:b/>
                <w:bCs/>
                <w:sz w:val="26"/>
                <w:szCs w:val="26"/>
              </w:rPr>
              <w:t>Состояние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</w:pPr>
            <w:r>
              <w:rPr>
                <w:b/>
                <w:bCs/>
                <w:sz w:val="26"/>
                <w:szCs w:val="26"/>
              </w:rPr>
              <w:t>Исх. № разграничения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</w:pPr>
            <w:r>
              <w:rPr>
                <w:b/>
                <w:bCs/>
                <w:sz w:val="26"/>
                <w:szCs w:val="26"/>
              </w:rPr>
              <w:t>Кадастровый номер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5"/>
              <w:numPr>
                <w:ilvl w:val="0"/>
                <w:numId w:val="1"/>
              </w:numPr>
              <w:spacing w:before="0" w:after="0" w:line="240" w:lineRule="auto"/>
              <w:ind w:left="0" w:firstLine="0"/>
              <w:contextualSpacing w:val="0"/>
              <w:jc w:val="left"/>
              <w:rPr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240" w:lineRule="auto"/>
              <w:ind w:left="0"/>
              <w:jc w:val="left"/>
            </w:pPr>
            <w:r>
              <w:rPr>
                <w:sz w:val="26"/>
                <w:szCs w:val="26"/>
              </w:rPr>
              <w:t xml:space="preserve">Российская Федерация, </w:t>
            </w:r>
            <w:r>
              <w:rPr>
                <w:rFonts w:cs="Times New Roman"/>
                <w:sz w:val="26"/>
                <w:szCs w:val="26"/>
                <w:lang w:eastAsia="ru-RU"/>
              </w:rPr>
              <w:t>Херсонская область, Новокаховский муниципальный округ, село Райское, улица Основская,</w:t>
            </w:r>
          </w:p>
          <w:p>
            <w:pPr>
              <w:spacing w:before="0" w:after="0" w:line="240" w:lineRule="auto"/>
              <w:ind w:left="0"/>
              <w:jc w:val="left"/>
            </w:pPr>
            <w:r>
              <w:rPr>
                <w:rFonts w:cs="Times New Roman"/>
                <w:sz w:val="26"/>
                <w:szCs w:val="26"/>
                <w:lang w:eastAsia="ru-RU"/>
              </w:rPr>
              <w:t>д. 15А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</w:pPr>
            <w:r>
              <w:rPr>
                <w:sz w:val="26"/>
                <w:szCs w:val="26"/>
              </w:rPr>
              <w:t>Здания (строения) –20 078 м</w:t>
            </w:r>
            <w:r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</w:pPr>
            <w:r>
              <w:rPr>
                <w:sz w:val="26"/>
                <w:szCs w:val="26"/>
              </w:rPr>
              <w:t>Требует текущего ремонта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</w:pPr>
            <w:r>
              <w:rPr>
                <w:sz w:val="26"/>
                <w:szCs w:val="26"/>
              </w:rPr>
              <w:t>Отсутствует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line="240" w:lineRule="auto"/>
              <w:ind w:left="0" w:firstLine="0"/>
              <w:jc w:val="center"/>
            </w:pPr>
            <w:r>
              <w:rPr>
                <w:sz w:val="26"/>
                <w:szCs w:val="26"/>
              </w:rPr>
              <w:t>Отсутствует</w:t>
            </w:r>
          </w:p>
        </w:tc>
      </w:tr>
    </w:tbl>
    <w:p>
      <w:pPr>
        <w:spacing w:before="0" w:after="0" w:line="240" w:lineRule="auto"/>
        <w:ind w:left="0" w:firstLine="708"/>
        <w:rPr>
          <w:b/>
          <w:bCs/>
          <w:sz w:val="28"/>
          <w:szCs w:val="28"/>
        </w:rPr>
      </w:pPr>
    </w:p>
    <w:p>
      <w:pPr>
        <w:spacing w:before="0" w:after="0" w:line="240" w:lineRule="auto"/>
        <w:ind w:left="0" w:firstLine="708"/>
        <w:jc w:val="center"/>
      </w:pPr>
      <w:r>
        <w:rPr>
          <w:b/>
          <w:bCs/>
          <w:sz w:val="28"/>
          <w:szCs w:val="28"/>
        </w:rPr>
        <w:t>Перечень объектов капитального строительства:</w:t>
      </w:r>
    </w:p>
    <w:tbl>
      <w:tblPr>
        <w:tblStyle w:val="33"/>
        <w:tblW w:w="103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2726"/>
        <w:gridCol w:w="2366"/>
        <w:gridCol w:w="1539"/>
        <w:gridCol w:w="2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№ п/п</w:t>
            </w:r>
          </w:p>
        </w:tc>
        <w:tc>
          <w:tcPr>
            <w:tcW w:w="2726" w:type="dxa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</w:pPr>
            <w:r>
              <w:rPr>
                <w:rFonts w:eastAsia="Calibri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Кадастровый номер: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</w:pPr>
            <w:r>
              <w:rPr>
                <w:rFonts w:eastAsia="Calibri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Назначение:</w:t>
            </w:r>
          </w:p>
        </w:tc>
        <w:tc>
          <w:tcPr>
            <w:tcW w:w="1539" w:type="dxa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</w:pPr>
            <w:r>
              <w:rPr>
                <w:rFonts w:eastAsia="Calibri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Площадь, м2:</w:t>
            </w:r>
          </w:p>
        </w:tc>
        <w:tc>
          <w:tcPr>
            <w:tcW w:w="2661" w:type="dxa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</w:pPr>
            <w:r>
              <w:rPr>
                <w:rFonts w:eastAsia="Calibri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Наименование: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94:16:0000000:653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121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94:16:0000000:654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1381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  <w:bookmarkStart w:id="0" w:name="_Hlk229043950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94:16:0000000:655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94:16:0000000:658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94:16:0000000:659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94:16:0000000:660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652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94:16:0000000:661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39,1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94:16:0000000:662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613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94:16:0000000:663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94:16:0000000:664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94:16:0000000:665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445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94:16:0000000:674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58,9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94:16:9080002:349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285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94:16:9080002:350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715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94:16:9080002:351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472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94:16:9080002:352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602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94:16:9080002:353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94:16:9080002:354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94:16:9080002:355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825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94:16:9080002:356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715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94:16:9080002:357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715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94:16:9080002:359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94:16:9080002:360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94:16:9080002:361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5965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94:16:9080002:362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271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94:16:9080002:363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94:16:9080002:364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1800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94:16:9080002:365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94:16:9080002:366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94:16:9080002:370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318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Сооружение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7" w:type="dxa"/>
            <w:tcBorders>
              <w:top w:val="nil"/>
            </w:tcBorders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7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94:16:9080002:371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279</w:t>
            </w:r>
          </w:p>
        </w:tc>
        <w:tc>
          <w:tcPr>
            <w:tcW w:w="2661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Здание</w:t>
            </w:r>
          </w:p>
        </w:tc>
      </w:tr>
    </w:tbl>
    <w:p>
      <w:pPr>
        <w:spacing w:before="0" w:after="0" w:line="240" w:lineRule="auto"/>
        <w:rPr>
          <w:sz w:val="28"/>
          <w:szCs w:val="28"/>
        </w:rPr>
      </w:pPr>
    </w:p>
    <w:p>
      <w:pPr>
        <w:spacing w:line="240" w:lineRule="auto"/>
        <w:ind w:left="0" w:firstLine="708"/>
      </w:pPr>
      <w:r>
        <w:rPr>
          <w:szCs w:val="28"/>
        </w:rPr>
        <w:t>В соответствии с п. 18.3. Правил, утвержденных Постановлением Правительства Херсонской области № 32-пп от 17.03.2025 г. (в ред. ПП ХО  от 16.12.2025 года № 165-пп) размер арендной платы определяется Решением Коллегиального органа одним из следующих способов:</w:t>
      </w:r>
    </w:p>
    <w:p>
      <w:pPr>
        <w:spacing w:line="240" w:lineRule="auto"/>
        <w:ind w:left="0" w:firstLine="708"/>
      </w:pPr>
      <w:r>
        <w:rPr>
          <w:szCs w:val="28"/>
        </w:rPr>
        <w:t>«а) произведение ставки арендной платы, определенной согласно приложению 1 к Правилам, и выручки арендатора, полученной в результате использования имущества (без налога на добавленную стоимость, далее - НДС);</w:t>
      </w:r>
    </w:p>
    <w:p>
      <w:pPr>
        <w:spacing w:line="240" w:lineRule="auto"/>
        <w:ind w:left="0" w:firstLine="708"/>
      </w:pPr>
      <w:r>
        <w:rPr>
          <w:szCs w:val="28"/>
        </w:rPr>
        <w:t>б) в соответствии с базовыми ставками арендной платы и методическими указаниями по ее расчету, утвержденными постановлением Правительства Херсонской области от 28 марта 2024 г. 30-пп «Об утверждении временного порядка расчета регулируемой арендной платы в отношении предоставленных в пользование без проведения торгов объектов недвижимого имущества, движимого имущества, отнесенных к государственной собственности Херсонской области, а также неразграниченной публичной собственности, расположенной на территории Херсонской области, до момента ее разграничения, а также установления порядка, условий и сроков внесения арендной платы.</w:t>
      </w:r>
    </w:p>
    <w:p>
      <w:pPr>
        <w:spacing w:line="240" w:lineRule="auto"/>
        <w:ind w:left="0" w:firstLine="708"/>
      </w:pPr>
      <w:r>
        <w:rPr>
          <w:szCs w:val="28"/>
        </w:rPr>
        <w:t>После определения показателей рыночной стоимости годовой арендной платы за пользование имуществом или кадастровой стоимости имущества размер арендной платы за весь период пользования с момента заключения договора аренды подлежит перерасчету в соответствии с результатами определения показателей рыночной стоимости годовой арендной платы за пользование имуществом или кадастровой стоимости имущества.</w:t>
      </w:r>
    </w:p>
    <w:p>
      <w:pPr>
        <w:spacing w:line="240" w:lineRule="auto"/>
        <w:ind w:left="0" w:firstLine="708"/>
      </w:pPr>
      <w:r>
        <w:rPr>
          <w:szCs w:val="28"/>
          <w:shd w:val="clear" w:fill="auto"/>
        </w:rPr>
        <w:t xml:space="preserve">В соответствии с базовыми ставками, установленными Постановлением Правительства Херсонской области от 28.03.2024 г. № 30-пп, размер ежемесячной арендной платы за перечисленное имущество составляет   752 925,0 руб. в месяц </w:t>
      </w:r>
    </w:p>
    <w:p>
      <w:pPr>
        <w:spacing w:line="240" w:lineRule="auto"/>
        <w:ind w:left="0" w:firstLine="0"/>
        <w:rPr>
          <w:szCs w:val="28"/>
          <w:shd w:val="clear" w:fill="auto"/>
        </w:rPr>
      </w:pPr>
      <w:r>
        <w:rPr>
          <w:szCs w:val="28"/>
          <w:shd w:val="clear" w:fill="auto"/>
        </w:rPr>
        <w:t>(9 035 100,00 руб. в год):</w:t>
      </w:r>
    </w:p>
    <w:p>
      <w:pPr>
        <w:spacing w:line="240" w:lineRule="auto"/>
        <w:ind w:left="0" w:firstLine="0"/>
        <w:rPr>
          <w:szCs w:val="28"/>
          <w:shd w:val="clear" w:fill="auto"/>
        </w:rPr>
      </w:pPr>
    </w:p>
    <w:tbl>
      <w:tblPr>
        <w:tblStyle w:val="3"/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11"/>
        <w:gridCol w:w="1352"/>
        <w:gridCol w:w="1"/>
        <w:gridCol w:w="1209"/>
        <w:gridCol w:w="2"/>
        <w:gridCol w:w="1138"/>
        <w:gridCol w:w="205"/>
        <w:gridCol w:w="924"/>
        <w:gridCol w:w="317"/>
        <w:gridCol w:w="1154"/>
        <w:gridCol w:w="1437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7" w:hRule="atLeast"/>
        </w:trPr>
        <w:tc>
          <w:tcPr>
            <w:tcW w:w="1035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Производственные объекты и объекты хранения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0" w:hRule="atLeast"/>
        </w:trPr>
        <w:tc>
          <w:tcPr>
            <w:tcW w:w="10350" w:type="dxa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75" w:hRule="atLeast"/>
        </w:trPr>
        <w:tc>
          <w:tcPr>
            <w:tcW w:w="261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объекта:</w:t>
            </w:r>
          </w:p>
        </w:tc>
        <w:tc>
          <w:tcPr>
            <w:tcW w:w="7739" w:type="dxa"/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Херсонская обл., м.о. Новокаховский, с. Райское, ул. Основская, д. 15А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0" w:hRule="atLeast"/>
        </w:trPr>
        <w:tc>
          <w:tcPr>
            <w:tcW w:w="261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объекта:</w:t>
            </w:r>
          </w:p>
        </w:tc>
        <w:tc>
          <w:tcPr>
            <w:tcW w:w="3702" w:type="dxa"/>
            <w:gridSpan w:val="5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bidi w:val="0"/>
              <w:jc w:val="center"/>
              <w:rPr>
                <w:rFonts w:ascii="Times New Roman" w:hAnsi="Times New Roman"/>
                <w:b w:val="0"/>
                <w:i w:val="0"/>
                <w:strike w:val="0"/>
                <w:dstrike w:val="0"/>
                <w:outline w:val="0"/>
                <w:shadow w:val="0"/>
                <w:sz w:val="19"/>
                <w:u w:val="none"/>
              </w:rPr>
            </w:pPr>
            <w:r>
              <w:rPr>
                <w:b w:val="0"/>
                <w:i w:val="0"/>
                <w:strike w:val="0"/>
                <w:dstrike w:val="0"/>
                <w:outline w:val="0"/>
                <w:shadow w:val="0"/>
                <w:sz w:val="19"/>
                <w:szCs w:val="20"/>
                <w:u w:val="none"/>
              </w:rPr>
              <w:t>П</w:t>
            </w:r>
            <w:r>
              <w:rPr>
                <w:b w:val="0"/>
                <w:i w:val="0"/>
                <w:strike w:val="0"/>
                <w:dstrike w:val="0"/>
                <w:outline w:val="0"/>
                <w:shadow w:val="0"/>
                <w:sz w:val="19"/>
                <w:u w:val="none"/>
              </w:rPr>
              <w:t>ищевая промышленность</w:t>
            </w:r>
          </w:p>
        </w:tc>
        <w:tc>
          <w:tcPr>
            <w:tcW w:w="1129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</w:t>
            </w:r>
          </w:p>
        </w:tc>
        <w:tc>
          <w:tcPr>
            <w:tcW w:w="1471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14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Приложения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0" w:hRule="atLeast"/>
        </w:trPr>
        <w:tc>
          <w:tcPr>
            <w:tcW w:w="261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площадь ОКС</w:t>
            </w:r>
          </w:p>
        </w:tc>
        <w:tc>
          <w:tcPr>
            <w:tcW w:w="1353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20 078,00</w:t>
            </w:r>
          </w:p>
        </w:tc>
        <w:tc>
          <w:tcPr>
            <w:tcW w:w="1211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м2</w:t>
            </w:r>
          </w:p>
        </w:tc>
        <w:tc>
          <w:tcPr>
            <w:tcW w:w="11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0" w:hRule="atLeast"/>
        </w:trPr>
        <w:tc>
          <w:tcPr>
            <w:tcW w:w="2611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 округ</w:t>
            </w:r>
          </w:p>
        </w:tc>
        <w:tc>
          <w:tcPr>
            <w:tcW w:w="2564" w:type="dxa"/>
            <w:gridSpan w:val="4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Новокаховский</w:t>
            </w:r>
          </w:p>
        </w:tc>
        <w:tc>
          <w:tcPr>
            <w:tcW w:w="113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00" w:hRule="atLeast"/>
        </w:trPr>
        <w:tc>
          <w:tcPr>
            <w:tcW w:w="10350" w:type="dxa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Минимальная стоимость аренды в соответствии с пп. б) п. 18.3. Правил</w:t>
            </w:r>
            <w:r>
              <w:rPr>
                <w:b/>
                <w:sz w:val="20"/>
                <w:szCs w:val="20"/>
              </w:rPr>
              <w:br w:type="textWrapping"/>
            </w:r>
            <w:r>
              <w:rPr>
                <w:b/>
                <w:sz w:val="20"/>
                <w:szCs w:val="20"/>
              </w:rPr>
              <w:t>(ПП ХО от 28.03.2024 № 30-пп, пп. в) п. 2 разд. II - в соответствии с базовыми ставками арендной платы и методическими указаниями)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0" w:hRule="atLeast"/>
        </w:trPr>
        <w:tc>
          <w:tcPr>
            <w:tcW w:w="1035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15" w:hRule="atLeast"/>
        </w:trPr>
        <w:tc>
          <w:tcPr>
            <w:tcW w:w="26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аренды площади ОКС по БС</w:t>
            </w:r>
          </w:p>
        </w:tc>
        <w:tc>
          <w:tcPr>
            <w:tcW w:w="135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Понижающий коэффициент</w:t>
            </w:r>
          </w:p>
        </w:tc>
        <w:tc>
          <w:tcPr>
            <w:tcW w:w="1210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год (руб./мес)</w:t>
            </w:r>
          </w:p>
        </w:tc>
        <w:tc>
          <w:tcPr>
            <w:tcW w:w="1345" w:type="dxa"/>
            <w:gridSpan w:val="3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год (руб./мес)</w:t>
            </w:r>
          </w:p>
        </w:tc>
        <w:tc>
          <w:tcPr>
            <w:tcW w:w="1241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год (руб./мес)</w:t>
            </w:r>
          </w:p>
        </w:tc>
        <w:tc>
          <w:tcPr>
            <w:tcW w:w="2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3 года (руб)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0" w:hRule="atLeast"/>
        </w:trPr>
        <w:tc>
          <w:tcPr>
            <w:tcW w:w="26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3 011 700,00 р.</w:t>
            </w:r>
          </w:p>
        </w:tc>
        <w:tc>
          <w:tcPr>
            <w:tcW w:w="135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1210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752 925,0</w:t>
            </w:r>
          </w:p>
        </w:tc>
        <w:tc>
          <w:tcPr>
            <w:tcW w:w="1345" w:type="dxa"/>
            <w:gridSpan w:val="3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752 925,0</w:t>
            </w:r>
          </w:p>
        </w:tc>
        <w:tc>
          <w:tcPr>
            <w:tcW w:w="1241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752 925,0</w:t>
            </w:r>
          </w:p>
        </w:tc>
        <w:tc>
          <w:tcPr>
            <w:tcW w:w="259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27 105 300,00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15" w:hRule="atLeast"/>
        </w:trPr>
        <w:tc>
          <w:tcPr>
            <w:tcW w:w="3963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аренды площади ОКС по БС в год (тыс. руб.)</w:t>
            </w:r>
          </w:p>
        </w:tc>
        <w:tc>
          <w:tcPr>
            <w:tcW w:w="1210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9 035,100</w:t>
            </w:r>
          </w:p>
        </w:tc>
        <w:tc>
          <w:tcPr>
            <w:tcW w:w="1345" w:type="dxa"/>
            <w:gridSpan w:val="3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9 035,100</w:t>
            </w:r>
          </w:p>
        </w:tc>
        <w:tc>
          <w:tcPr>
            <w:tcW w:w="1241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9 035,100</w:t>
            </w:r>
          </w:p>
        </w:tc>
        <w:tc>
          <w:tcPr>
            <w:tcW w:w="259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27 105,30</w:t>
            </w:r>
          </w:p>
        </w:tc>
      </w:tr>
    </w:tbl>
    <w:p>
      <w:pPr>
        <w:spacing w:line="240" w:lineRule="auto"/>
        <w:ind w:left="0" w:firstLine="708"/>
        <w:rPr>
          <w:sz w:val="28"/>
          <w:szCs w:val="28"/>
        </w:rPr>
      </w:pPr>
    </w:p>
    <w:p>
      <w:pPr>
        <w:spacing w:before="0" w:after="0" w:line="240" w:lineRule="auto"/>
        <w:ind w:left="0"/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Прошу перед публикацией проверить достоверность осуществления МИЗО ХО </w:t>
      </w:r>
    </w:p>
    <w:p>
      <w:pPr>
        <w:spacing w:before="0" w:after="0" w:line="240" w:lineRule="auto"/>
        <w:ind w:left="0"/>
      </w:pPr>
      <w:r>
        <w:rPr>
          <w:sz w:val="28"/>
          <w:szCs w:val="28"/>
        </w:rPr>
        <w:t>кадастрового учета объекта недвижимости по указанному адресу.</w:t>
      </w:r>
      <w:bookmarkStart w:id="1" w:name="_GoBack"/>
      <w:bookmarkEnd w:id="1"/>
    </w:p>
    <w:p>
      <w:pPr>
        <w:spacing w:before="0" w:after="0" w:line="240" w:lineRule="auto"/>
        <w:ind w:left="0"/>
        <w:rPr>
          <w:sz w:val="28"/>
          <w:szCs w:val="28"/>
        </w:rPr>
      </w:pPr>
    </w:p>
    <w:p>
      <w:pPr>
        <w:spacing w:before="0" w:after="0" w:line="240" w:lineRule="auto"/>
        <w:ind w:left="0"/>
        <w:rPr>
          <w:sz w:val="28"/>
          <w:szCs w:val="28"/>
        </w:rPr>
      </w:pPr>
    </w:p>
    <w:p>
      <w:pPr>
        <w:spacing w:before="0" w:after="0" w:line="240" w:lineRule="auto"/>
        <w:ind w:left="0"/>
        <w:rPr>
          <w:sz w:val="28"/>
          <w:szCs w:val="28"/>
        </w:rPr>
      </w:pPr>
    </w:p>
    <w:tbl>
      <w:tblPr>
        <w:tblStyle w:val="3"/>
        <w:tblW w:w="1034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3"/>
        <w:gridCol w:w="51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  <w:r>
              <w:rPr>
                <w:b/>
                <w:bCs/>
              </w:rPr>
              <w:t>Директор</w:t>
            </w: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  <w:r>
              <w:rPr>
                <w:b/>
                <w:bCs/>
              </w:rPr>
              <w:t>А.М. Баткаев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  <w:tr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  <w:tr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  <w:tr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</w:pPr>
          </w:p>
        </w:tc>
        <w:tc>
          <w:tcPr>
            <w:tcW w:w="5173" w:type="dxa"/>
          </w:tcPr>
          <w:p>
            <w:pPr>
              <w:pStyle w:val="30"/>
              <w:spacing w:line="240" w:lineRule="auto"/>
              <w:ind w:left="0" w:firstLine="0"/>
              <w:jc w:val="right"/>
            </w:pPr>
          </w:p>
        </w:tc>
      </w:tr>
    </w:tbl>
    <w:p>
      <w:pPr>
        <w:spacing w:before="0" w:after="0" w:line="240" w:lineRule="auto"/>
        <w:ind w:left="0"/>
        <w:rPr>
          <w:sz w:val="18"/>
          <w:szCs w:val="18"/>
        </w:rPr>
      </w:pPr>
      <w:r>
        <w:rPr>
          <w:sz w:val="18"/>
          <w:szCs w:val="18"/>
        </w:rPr>
        <w:t>Исп. Авдеева А.В.</w:t>
      </w:r>
    </w:p>
    <w:p>
      <w:pPr>
        <w:spacing w:before="0" w:after="0" w:line="240" w:lineRule="auto"/>
        <w:ind w:left="0"/>
        <w:rPr>
          <w:sz w:val="18"/>
          <w:szCs w:val="18"/>
        </w:rPr>
      </w:pPr>
      <w:r>
        <w:rPr>
          <w:sz w:val="18"/>
          <w:szCs w:val="18"/>
        </w:rPr>
        <w:t>+7 (990) 041-67-28</w:t>
      </w:r>
    </w:p>
    <w:sectPr>
      <w:pgSz w:w="11906" w:h="16838"/>
      <w:pgMar w:top="996" w:right="566" w:bottom="854" w:left="993" w:header="0" w:footer="0" w:gutter="0"/>
      <w:pgNumType w:fmt="decimal"/>
      <w:cols w:space="720" w:num="1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egoe UI">
    <w:altName w:val="C059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Noto Sans Devanagari">
    <w:panose1 w:val="020B0502040504020204"/>
    <w:charset w:val="00"/>
    <w:family w:val="auto"/>
    <w:pitch w:val="default"/>
    <w:sig w:usb0="80008023" w:usb1="00002046" w:usb2="00000000" w:usb3="00000000" w:csb0="00000001" w:csb1="00000000"/>
  </w:font>
  <w:font w:name="PT Astra Serif">
    <w:panose1 w:val="020A0603040505020204"/>
    <w:charset w:val="01"/>
    <w:family w:val="roman"/>
    <w:pitch w:val="default"/>
    <w:sig w:usb0="A00002EF" w:usb1="5000204B" w:usb2="00000020" w:usb3="00000000" w:csb0="20000097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DFE495"/>
    <w:multiLevelType w:val="multilevel"/>
    <w:tmpl w:val="B7DFE49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EFAE41A9"/>
    <w:multiLevelType w:val="multilevel"/>
    <w:tmpl w:val="EFAE41A9"/>
    <w:lvl w:ilvl="0" w:tentative="0">
      <w:start w:val="1"/>
      <w:numFmt w:val="decimal"/>
      <w:suff w:val="nothing"/>
      <w:lvlText w:val="%1."/>
      <w:lvlJc w:val="left"/>
      <w:pPr>
        <w:tabs>
          <w:tab w:val="left" w:pos="0"/>
        </w:tabs>
        <w:ind w:left="786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66"/>
        </w:tabs>
        <w:ind w:left="1506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66"/>
        </w:tabs>
        <w:ind w:left="2226" w:hanging="180"/>
      </w:pPr>
    </w:lvl>
    <w:lvl w:ilvl="3" w:tentative="0">
      <w:start w:val="1"/>
      <w:numFmt w:val="decimal"/>
      <w:lvlText w:val="%4."/>
      <w:lvlJc w:val="left"/>
      <w:pPr>
        <w:tabs>
          <w:tab w:val="left" w:pos="66"/>
        </w:tabs>
        <w:ind w:left="2946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66"/>
        </w:tabs>
        <w:ind w:left="3666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66"/>
        </w:tabs>
        <w:ind w:left="4386" w:hanging="180"/>
      </w:pPr>
    </w:lvl>
    <w:lvl w:ilvl="6" w:tentative="0">
      <w:start w:val="1"/>
      <w:numFmt w:val="decimal"/>
      <w:lvlText w:val="%7."/>
      <w:lvlJc w:val="left"/>
      <w:pPr>
        <w:tabs>
          <w:tab w:val="left" w:pos="66"/>
        </w:tabs>
        <w:ind w:left="5106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6"/>
        </w:tabs>
        <w:ind w:left="5826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"/>
        </w:tabs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autoHyphenation/>
  <w:hyphenationZone w:val="0"/>
  <w:footnotePr>
    <w:footnote w:id="0"/>
    <w:footnote w:id="1"/>
  </w:footnotePr>
  <w:compat>
    <w:doNotBreakWrappedTab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ADD546E8"/>
    <w:rsid w:val="F7FBC3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ind w:left="142"/>
      <w:jc w:val="both"/>
    </w:pPr>
    <w:rPr>
      <w:rFonts w:ascii="Times New Roman" w:hAnsi="Times New Roman" w:cs="Times New Roman" w:eastAsiaTheme="minorHAnsi"/>
      <w:color w:val="auto"/>
      <w:kern w:val="0"/>
      <w:sz w:val="28"/>
      <w:szCs w:val="20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Noto Sans Devanagari"/>
      <w:i/>
      <w:iCs/>
      <w:sz w:val="22"/>
      <w:szCs w:val="24"/>
    </w:rPr>
  </w:style>
  <w:style w:type="paragraph" w:styleId="8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qFormat/>
    <w:uiPriority w:val="0"/>
    <w:pPr>
      <w:spacing w:before="0" w:after="140" w:line="276" w:lineRule="auto"/>
    </w:pPr>
  </w:style>
  <w:style w:type="paragraph" w:styleId="10">
    <w:name w:val="index heading"/>
    <w:basedOn w:val="1"/>
    <w:next w:val="11"/>
    <w:qFormat/>
    <w:uiPriority w:val="0"/>
    <w:pPr>
      <w:suppressLineNumbers/>
    </w:pPr>
    <w:rPr>
      <w:rFonts w:cs="Noto Sans Devanagari"/>
    </w:rPr>
  </w:style>
  <w:style w:type="paragraph" w:styleId="11">
    <w:name w:val="index 1"/>
    <w:basedOn w:val="1"/>
    <w:next w:val="1"/>
    <w:semiHidden/>
    <w:unhideWhenUsed/>
    <w:uiPriority w:val="99"/>
  </w:style>
  <w:style w:type="paragraph" w:styleId="12">
    <w:name w:val="Title"/>
    <w:basedOn w:val="1"/>
    <w:next w:val="9"/>
    <w:qFormat/>
    <w:uiPriority w:val="0"/>
    <w:pPr>
      <w:keepNext/>
      <w:spacing w:before="240" w:after="120"/>
    </w:pPr>
    <w:rPr>
      <w:rFonts w:eastAsia="Tahoma" w:cs="Noto Sans Devanagari"/>
      <w:sz w:val="22"/>
      <w:szCs w:val="28"/>
    </w:rPr>
  </w:style>
  <w:style w:type="paragraph" w:styleId="13">
    <w:name w:val="footer"/>
    <w:basedOn w:val="14"/>
    <w:qFormat/>
    <w:uiPriority w:val="0"/>
    <w:pPr>
      <w:tabs>
        <w:tab w:val="center" w:pos="4890"/>
        <w:tab w:val="right" w:pos="9780"/>
      </w:tabs>
    </w:pPr>
  </w:style>
  <w:style w:type="paragraph" w:customStyle="1" w:styleId="14">
    <w:name w:val="Колонтитулы"/>
    <w:basedOn w:val="1"/>
    <w:qFormat/>
    <w:uiPriority w:val="0"/>
    <w:pPr>
      <w:suppressLineNumbers/>
      <w:tabs>
        <w:tab w:val="center" w:pos="4890"/>
        <w:tab w:val="right" w:pos="9780"/>
      </w:tabs>
    </w:pPr>
  </w:style>
  <w:style w:type="paragraph" w:styleId="15">
    <w:name w:val="List"/>
    <w:basedOn w:val="9"/>
    <w:qFormat/>
    <w:uiPriority w:val="0"/>
    <w:rPr>
      <w:rFonts w:cs="Noto Sans Devanagari"/>
    </w:rPr>
  </w:style>
  <w:style w:type="table" w:styleId="1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8">
    <w:name w:val="Неразрешенное упоминание1"/>
    <w:basedOn w:val="2"/>
    <w:semiHidden/>
    <w:unhideWhenUsed/>
    <w:qFormat/>
    <w:uiPriority w:val="99"/>
    <w:rPr>
      <w:color w:val="605E5C"/>
      <w:shd w:val="clear" w:fill="E1DFDD"/>
    </w:rPr>
  </w:style>
  <w:style w:type="character" w:customStyle="1" w:styleId="19">
    <w:name w:val="Символ нумерации"/>
    <w:qFormat/>
    <w:uiPriority w:val="0"/>
  </w:style>
  <w:style w:type="character" w:customStyle="1" w:styleId="20">
    <w:name w:val="Верхний колонтитул Знак"/>
    <w:basedOn w:val="2"/>
    <w:link w:val="8"/>
    <w:qFormat/>
    <w:uiPriority w:val="99"/>
  </w:style>
  <w:style w:type="paragraph" w:customStyle="1" w:styleId="21">
    <w:name w:val="Заголовок"/>
    <w:basedOn w:val="1"/>
    <w:next w:val="9"/>
    <w:qFormat/>
    <w:uiPriority w:val="0"/>
    <w:pPr>
      <w:keepNext/>
      <w:spacing w:before="240" w:after="120"/>
    </w:pPr>
    <w:rPr>
      <w:rFonts w:eastAsia="Tahoma" w:cs="Noto Sans"/>
      <w:szCs w:val="28"/>
    </w:rPr>
  </w:style>
  <w:style w:type="paragraph" w:customStyle="1" w:styleId="22">
    <w:name w:val="Указатель1"/>
    <w:basedOn w:val="1"/>
    <w:qFormat/>
    <w:uiPriority w:val="0"/>
    <w:pPr>
      <w:suppressLineNumbers/>
    </w:pPr>
    <w:rPr>
      <w:rFonts w:cs="Noto Sans"/>
    </w:rPr>
  </w:style>
  <w:style w:type="paragraph" w:customStyle="1" w:styleId="23">
    <w:name w:val="Заголовок (user)"/>
    <w:basedOn w:val="1"/>
    <w:next w:val="9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24">
    <w:name w:val="Указатель (user)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styleId="25">
    <w:name w:val="List Paragraph"/>
    <w:basedOn w:val="1"/>
    <w:qFormat/>
    <w:uiPriority w:val="34"/>
    <w:pPr>
      <w:spacing w:before="0" w:after="0"/>
      <w:ind w:left="720"/>
      <w:contextualSpacing/>
    </w:pPr>
  </w:style>
  <w:style w:type="paragraph" w:customStyle="1" w:styleId="26">
    <w:name w:val="Содержимое таблицы"/>
    <w:basedOn w:val="1"/>
    <w:qFormat/>
    <w:uiPriority w:val="0"/>
    <w:pPr>
      <w:widowControl w:val="0"/>
      <w:suppressLineNumbers/>
    </w:pPr>
  </w:style>
  <w:style w:type="paragraph" w:customStyle="1" w:styleId="27">
    <w:name w:val="Таблица"/>
    <w:basedOn w:val="7"/>
    <w:qFormat/>
    <w:uiPriority w:val="0"/>
  </w:style>
  <w:style w:type="paragraph" w:customStyle="1" w:styleId="28">
    <w:name w:val="Заголовок таблицы"/>
    <w:basedOn w:val="26"/>
    <w:qFormat/>
    <w:uiPriority w:val="0"/>
    <w:pPr>
      <w:jc w:val="center"/>
    </w:pPr>
    <w:rPr>
      <w:b/>
      <w:bCs/>
    </w:rPr>
  </w:style>
  <w:style w:type="paragraph" w:customStyle="1" w:styleId="29">
    <w:name w:val="Колонтитулы (user)"/>
    <w:basedOn w:val="1"/>
    <w:qFormat/>
    <w:uiPriority w:val="0"/>
  </w:style>
  <w:style w:type="paragraph" w:customStyle="1" w:styleId="30">
    <w:name w:val="Содержимое таблицы (user)"/>
    <w:basedOn w:val="1"/>
    <w:qFormat/>
    <w:uiPriority w:val="0"/>
    <w:pPr>
      <w:widowControl w:val="0"/>
      <w:suppressLineNumbers/>
    </w:pPr>
  </w:style>
  <w:style w:type="paragraph" w:customStyle="1" w:styleId="31">
    <w:name w:val="Таблица (user)"/>
    <w:basedOn w:val="7"/>
    <w:qFormat/>
    <w:uiPriority w:val="0"/>
  </w:style>
  <w:style w:type="paragraph" w:customStyle="1" w:styleId="32">
    <w:name w:val="Заголовок таблицы (user)"/>
    <w:basedOn w:val="30"/>
    <w:qFormat/>
    <w:uiPriority w:val="0"/>
    <w:pPr>
      <w:jc w:val="center"/>
    </w:pPr>
    <w:rPr>
      <w:b/>
      <w:bCs/>
    </w:rPr>
  </w:style>
  <w:style w:type="table" w:customStyle="1" w:styleId="33">
    <w:name w:val="Сетка таблицы1"/>
    <w:basedOn w:val="3"/>
    <w:qFormat/>
    <w:uiPriority w:val="3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Сетка таблицы2"/>
    <w:basedOn w:val="3"/>
    <w:qFormat/>
    <w:uiPriority w:val="3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671</Words>
  <Characters>4664</Characters>
  <Paragraphs>232</Paragraphs>
  <TotalTime>326</TotalTime>
  <ScaleCrop>false</ScaleCrop>
  <LinksUpToDate>false</LinksUpToDate>
  <CharactersWithSpaces>5111</CharactersWithSpaces>
  <Application>WPS Office_11.1.0.11723_F1E327BC-269C-435d-A152-05C5408002CA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2026-04-01T10:56:00Z</dcterms:created>
  <dc:creator>FRT</dc:creator>
  <cp:lastModifiedBy>user</cp:lastModifiedBy>
  <cp:lastPrinted>2026-06-26T13:59:00Z</cp:lastPrinted>
  <dcterms:modified xsi:type="dcterms:W3CDTF">2026-06-30T16:14:50Z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